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新晃县林业局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192ABE6E">
      <w:pPr>
        <w:numPr>
          <w:ilvl w:val="0"/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bCs/>
          <w:kern w:val="2"/>
          <w:sz w:val="32"/>
          <w:szCs w:val="32"/>
          <w:lang w:val="en-US" w:eastAsia="zh-CN" w:bidi="ar-SA"/>
        </w:rPr>
        <w:t>一、</w:t>
      </w: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绩效评价工作开展情况。</w:t>
      </w:r>
    </w:p>
    <w:p w14:paraId="71E6A12B">
      <w:pPr>
        <w:numPr>
          <w:ilvl w:val="0"/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bCs/>
          <w:kern w:val="2"/>
          <w:sz w:val="32"/>
          <w:szCs w:val="32"/>
          <w:lang w:val="en-US" w:eastAsia="zh-CN" w:bidi="ar-SA"/>
        </w:rPr>
        <w:t>（一）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组织对2024年度本单位整体支出开展绩效自评，共涉及资金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3693.66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万元。其中，一般公共预算项目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3693.66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万元，占一般公共预算支出总额的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%；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单位无政府性基金预算项目支出，无国有资本经营预算项目支出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无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支出。通过全面自评，深入了解各项目预算执行及绩效目标完成情况，为后续优化预算管理提供依据。</w:t>
      </w:r>
    </w:p>
    <w:p w14:paraId="3769554B">
      <w:pPr>
        <w:numPr>
          <w:ilvl w:val="0"/>
          <w:numId w:val="0"/>
        </w:numPr>
        <w:overflowPunct w:val="0"/>
        <w:spacing w:line="600" w:lineRule="exact"/>
        <w:ind w:firstLine="643" w:firstLineChars="200"/>
        <w:rPr>
          <w:rFonts w:ascii="Times New Roman" w:hAnsi="Times New Roman" w:eastAsia="楷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bCs/>
          <w:kern w:val="2"/>
          <w:sz w:val="32"/>
          <w:szCs w:val="32"/>
          <w:lang w:val="en-US" w:eastAsia="zh-CN" w:bidi="ar-SA"/>
        </w:rPr>
        <w:t>（二）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部门评价开展情况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组织对单位2024年度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生态护林员补助，林长制工作经费、生态公益林补助、森林防火等7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1901.21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单位无政府性基金预算项目支出，无国有资本经营预算项目支出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val="en-US" w:eastAsia="zh-CN"/>
        </w:rPr>
        <w:t>无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社会保险基金预算项目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支出。评价过程中，组建专业评价小组，通过查阅资料、实地调研、数据分析等方式，对项目决策、过程管理、产出及效益等方面进行全面评估，旨在客观公正地反映项目实施成效，发现存在问题并提出改进建议。</w:t>
      </w:r>
    </w:p>
    <w:p w14:paraId="33CFAB3E">
      <w:p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bCs/>
          <w:kern w:val="2"/>
          <w:sz w:val="32"/>
          <w:szCs w:val="32"/>
          <w:lang w:val="en-US" w:eastAsia="zh-CN" w:bidi="ar-SA"/>
        </w:rPr>
        <w:t>（三）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事前绩效评估开展情况</w:t>
      </w:r>
    </w:p>
    <w:p w14:paraId="631AF146"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为确保政策和项目的科学性与可行性，组织对 2024 年度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7个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项目开展事前绩效评估，共涉及资金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1901.21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万元。评估工作邀请行业专家、财务人员等共同参与，从政策依据、项目必要性、预期效益、资金筹措等多维度进行论证分析。通过事前绩效评估，提前筛选出具有较高实施价值的项目，避免资源浪费，提高财政资金配置效率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。</w:t>
      </w:r>
    </w:p>
    <w:p w14:paraId="20032215">
      <w:pPr>
        <w:overflowPunct w:val="0"/>
        <w:spacing w:line="600" w:lineRule="exact"/>
        <w:ind w:firstLine="643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二</w:t>
      </w:r>
      <w:r>
        <w:rPr>
          <w:rFonts w:hint="eastAsia" w:ascii="Times New Roman" w:hAnsi="Times New Roman" w:eastAsia="楷体_GB2312" w:cs="Times New Roman"/>
          <w:b/>
          <w:bCs/>
          <w:sz w:val="32"/>
          <w:szCs w:val="32"/>
          <w:lang w:eastAsia="zh-CN"/>
        </w:rPr>
        <w:t>、</w:t>
      </w: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绩效评价结果</w:t>
      </w:r>
    </w:p>
    <w:p w14:paraId="65376ACA">
      <w:pPr>
        <w:overflowPunct w:val="0"/>
        <w:spacing w:line="600" w:lineRule="exact"/>
        <w:ind w:firstLine="643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绩效自评结果。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2024年度单位整体支出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3585.66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3693.66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103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，绩效自评得分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 w:cs="Times New Roman"/>
          <w:sz w:val="32"/>
          <w:szCs w:val="32"/>
        </w:rPr>
        <w:t>分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，评价等级为</w:t>
      </w:r>
      <w:r>
        <w:rPr>
          <w:rFonts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</w:p>
    <w:p w14:paraId="3BEEFB2B"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绩效目标完成情况：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是在产出方面，各项目按计划完成了相应的工作量，产出质量也达到了预期标准。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是在效益方面，项目实施产生了积极的社会效益，经济效益也有所提升。</w:t>
      </w:r>
    </w:p>
    <w:p w14:paraId="6649F96D">
      <w:pPr>
        <w:overflowPunct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发现的主要问题：</w:t>
      </w:r>
    </w:p>
    <w:p w14:paraId="1F763B28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部分项目预算执行进度缓慢，原因在于项目前期准备工作不充分，导致项目启动滞后，影响预算执行。​</w:t>
      </w:r>
    </w:p>
    <w:p w14:paraId="458B4B7B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个别项目绩效指标设置不够科学合理，与实际工作关联度不高，使得在绩效评价时难以准确衡量项目成效。​</w:t>
      </w:r>
    </w:p>
    <w:p w14:paraId="25D58576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下一步改进措施：​</w:t>
      </w:r>
    </w:p>
    <w:p w14:paraId="537EF138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、加强项目前期谋划，建立项目前期工作推进机制，提前梳理审批流程、明确供应商选择标准等，确保项目按时启动，加快预算执行进度。​</w:t>
      </w:r>
    </w:p>
    <w:p w14:paraId="25A739A9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2、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优化绩效指标体系，在设定绩效指标时，充分结合项目实际情况，广泛征求业务人员及相关专家意见，提高指标的科学性与可衡量性。</w:t>
      </w:r>
    </w:p>
    <w:p w14:paraId="5626588B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31277DCD">
      <w:pPr>
        <w:pStyle w:val="2"/>
      </w:pPr>
    </w:p>
    <w:p w14:paraId="086C75E3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二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）</w:t>
      </w:r>
      <w:bookmarkStart w:id="0" w:name="_GoBack"/>
      <w:bookmarkEnd w:id="0"/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部门评价结果。</w:t>
      </w:r>
    </w:p>
    <w:p w14:paraId="42CA841E">
      <w:pPr>
        <w:overflowPunct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1、生态护林员补助项目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719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719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</w:p>
    <w:p w14:paraId="6301AF38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2、生态公益林（非国有）补助项目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611.06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611.06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</w:p>
    <w:p w14:paraId="7C56D2DA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3、其他人员经费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补助项目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303.91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303.91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</w:p>
    <w:p w14:paraId="00B05B83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4、退休人员生活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补助项目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57.72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57.72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</w:p>
    <w:p w14:paraId="12758768">
      <w:pPr>
        <w:pStyle w:val="2"/>
        <w:ind w:firstLine="360" w:firstLineChars="200"/>
        <w:rPr>
          <w:rFonts w:hint="default" w:eastAsia="仿宋_GB2312"/>
          <w:lang w:val="en-US" w:eastAsia="zh-CN"/>
        </w:rPr>
      </w:pPr>
    </w:p>
    <w:p w14:paraId="7454B516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5、专项业务补助项目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49.52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49.52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</w:p>
    <w:p w14:paraId="589B3C1A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6、森林防火补助项目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60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60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</w:p>
    <w:p w14:paraId="2938DC5B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7、林长制补助项目</w:t>
      </w:r>
      <w:r>
        <w:rPr>
          <w:rFonts w:ascii="Times New Roman" w:hAnsi="Times New Roman" w:eastAsia="仿宋_GB2312" w:cs="Times New Roman"/>
          <w:sz w:val="32"/>
          <w:szCs w:val="32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万元，执行数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万元，完成预算的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%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，</w:t>
      </w:r>
      <w:r>
        <w:rPr>
          <w:rFonts w:ascii="Times New Roman" w:hAnsi="Times New Roman" w:eastAsia="仿宋_GB2312" w:cs="Times New Roman"/>
          <w:sz w:val="32"/>
          <w:szCs w:val="32"/>
        </w:rPr>
        <w:t>部门评价得分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 w:cs="Times New Roman"/>
          <w:sz w:val="32"/>
          <w:szCs w:val="32"/>
        </w:rPr>
        <w:t>分，评价等级为“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优秀</w:t>
      </w:r>
      <w:r>
        <w:rPr>
          <w:rFonts w:ascii="Times New Roman" w:hAnsi="Times New Roman" w:eastAsia="仿宋_GB2312" w:cs="Times New Roman"/>
          <w:sz w:val="32"/>
          <w:szCs w:val="32"/>
        </w:rPr>
        <w:t>”。</w:t>
      </w:r>
    </w:p>
    <w:p w14:paraId="6AB5D6A3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 xml:space="preserve">   </w:t>
      </w:r>
    </w:p>
    <w:p w14:paraId="137295A7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发现的主要问题及原因：​</w:t>
      </w:r>
    </w:p>
    <w:p w14:paraId="7636DDE8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一是项目实施过程中对成本控制不够严格，导致部分费用超支，主要原因是缺乏有效的成本监控机制，对项目各项费用支出未进行实时跟踪与分析。​</w:t>
      </w:r>
    </w:p>
    <w:p w14:paraId="4228BDE6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二是项目产出的部分成果未能达到预期效果，原因在于项目实施过程中对市场需求变化的敏感度不够，未及时根据市场反馈调整项目实施策略。​</w:t>
      </w:r>
    </w:p>
    <w:p w14:paraId="44252B6E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下一步改进措施：​</w:t>
      </w:r>
    </w:p>
    <w:p w14:paraId="7DEF35E8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一是建立健全成本控制制度，明确成本控制目标与责任，对项目费用支出进行定期核算与分析，及时发现并纠正成本偏差。​</w:t>
      </w:r>
    </w:p>
    <w:p w14:paraId="08A06D6E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二是加强市场调研与监测，建立市场反馈机制，根据市场需求变化及时优化项目实施计划，确保项目产出符合实际需求。</w:t>
      </w:r>
    </w:p>
    <w:p w14:paraId="595329F8">
      <w:pPr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</w:p>
    <w:p w14:paraId="0338398E">
      <w:pPr>
        <w:ind w:firstLine="640" w:firstLineChars="200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（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三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）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事前绩效评估结果</w:t>
      </w:r>
    </w:p>
    <w:p w14:paraId="3B4596D1">
      <w:pPr>
        <w:ind w:firstLine="640" w:firstLineChars="200"/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2024 年度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7个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项目事前绩效评估，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val="en-US" w:eastAsia="zh-CN"/>
        </w:rPr>
        <w:t>涉及金额1901.21万元，全部评估通过。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</w:rPr>
        <w:t>这些项目在政策必要性、可行性、预期效益等方面表现良好，具备实施价值</w:t>
      </w:r>
      <w:r>
        <w:rPr>
          <w:rFonts w:hint="eastAsia" w:ascii="Times New Roman" w:hAnsi="Times New Roman" w:eastAsia="仿宋_GB2312" w:cs="Times New Roman"/>
          <w:b w:val="0"/>
          <w:bCs w:val="0"/>
          <w:kern w:val="0"/>
          <w:sz w:val="32"/>
          <w:szCs w:val="32"/>
          <w:lang w:eastAsia="zh-CN"/>
        </w:rPr>
        <w:t>。</w:t>
      </w:r>
    </w:p>
    <w:p w14:paraId="4D0F324B">
      <w:pPr>
        <w:ind w:firstLine="723" w:firstLineChars="200"/>
        <w:rPr>
          <w:rFonts w:ascii="Times New Roman" w:hAnsi="Times New Roman" w:eastAsia="楷体_GB2312" w:cs="Times New Roman"/>
          <w:b w:val="0"/>
          <w:bCs w:val="0"/>
          <w:color w:val="auto"/>
          <w:kern w:val="2"/>
          <w:sz w:val="36"/>
          <w:szCs w:val="36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6"/>
          <w:szCs w:val="36"/>
        </w:rPr>
        <w:t>三</w:t>
      </w: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6"/>
          <w:szCs w:val="36"/>
          <w:lang w:eastAsia="zh-CN"/>
        </w:rPr>
        <w:t>、</w:t>
      </w:r>
      <w:r>
        <w:rPr>
          <w:rFonts w:ascii="Times New Roman" w:hAnsi="Times New Roman" w:eastAsia="楷体_GB2312" w:cs="Times New Roman"/>
          <w:b/>
          <w:bCs/>
          <w:color w:val="auto"/>
          <w:kern w:val="2"/>
          <w:sz w:val="36"/>
          <w:szCs w:val="36"/>
        </w:rPr>
        <w:t>评价结果应用情况</w:t>
      </w:r>
      <w:r>
        <w:rPr>
          <w:rFonts w:ascii="Times New Roman" w:hAnsi="Times New Roman" w:eastAsia="楷体_GB2312" w:cs="Times New Roman"/>
          <w:b w:val="0"/>
          <w:bCs w:val="0"/>
          <w:color w:val="auto"/>
          <w:kern w:val="2"/>
          <w:sz w:val="36"/>
          <w:szCs w:val="36"/>
        </w:rPr>
        <w:t>。</w:t>
      </w:r>
    </w:p>
    <w:p w14:paraId="600C4620">
      <w:pPr>
        <w:ind w:firstLine="640" w:firstLineChars="200"/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/>
        </w:rPr>
        <w:t>1、</w:t>
      </w:r>
      <w:r>
        <w:rPr>
          <w:rFonts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预算安排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：依据 2024 年度绩效自评、部门评价及财政评价结果，对 2025 年度预算安排进行优化调整。对于绩效优良的项目，在预算安排上予以优先保障，适当增加资金投入，以支持项目持续深入开展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对于绩效一般或较差的项目，削减或取消部分预算</w:t>
      </w:r>
      <w:r>
        <w:rPr>
          <w:rFonts w:hint="default" w:ascii="Times New Roman" w:hAnsi="Times New Roman" w:eastAsia="楷体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7DA6E1D8">
      <w:pPr>
        <w:ind w:firstLine="643" w:firstLineChars="200"/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2、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支出结构调整：参考评价结果，对部门支出结构进行优化。减少低效、非必要项目的支出，将资金更多地投向重点领域和关键项目，提高财政资金使用效益，促进部门职能更好地履行。​</w:t>
      </w:r>
    </w:p>
    <w:p w14:paraId="49E9D096">
      <w:pPr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3、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资金管理：针对评价中发现的资金管理问题，完善资金管理制度与流程。加强对资金使用的全过程监控，确保资金使用合规、安全、高效。建立资金使用预警机制，对资金支出进度、使用方向等进行实时监测，及时发现并解决资金管理中出现的问题。​</w:t>
      </w:r>
    </w:p>
    <w:p w14:paraId="2CAE9278">
      <w:pPr>
        <w:ind w:firstLine="640" w:firstLineChars="200"/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4、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制度建设：以绩效评价结果为依据，进一步完善预算绩效管理制度体系。修订绩效目标设定、绩效评价实施、结果应用等相关制度办法，明确各部门在预算绩效管理中的职责分工，规范工作流程，提高预算绩效管理的规范化、制度化水平，为提升财政资金使用效益提供制度保障。​</w:t>
      </w:r>
    </w:p>
    <w:p w14:paraId="51929827">
      <w:pPr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000000"/>
    <w:rsid w:val="143C02BF"/>
    <w:rsid w:val="27277283"/>
    <w:rsid w:val="44F52592"/>
    <w:rsid w:val="489A18C8"/>
    <w:rsid w:val="506374B2"/>
    <w:rsid w:val="727342FE"/>
    <w:rsid w:val="7BB2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2104</Words>
  <Characters>2258</Characters>
  <Lines>0</Lines>
  <Paragraphs>0</Paragraphs>
  <TotalTime>12</TotalTime>
  <ScaleCrop>false</ScaleCrop>
  <LinksUpToDate>false</LinksUpToDate>
  <CharactersWithSpaces>2270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子落</cp:lastModifiedBy>
  <dcterms:modified xsi:type="dcterms:W3CDTF">2025-09-18T03:23:50Z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BAC2473BE9D1415E82F90A5F68364250_13</vt:lpwstr>
  </property>
  <property fmtid="{D5CDD505-2E9C-101B-9397-08002B2CF9AE}" pid="4" name="KSOTemplateDocerSaveRecord">
    <vt:lpwstr>eyJoZGlkIjoiODQ2MjIxNTdjNDY0Yjg3NjdjNjlhMzY4NThlYWIwYzgiLCJ1c2VySWQiOiI2MDk2NDk3NjEifQ==</vt:lpwstr>
  </property>
</Properties>
</file>